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spacing w:after="60" w:lineRule="auto"/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Табела 9.1.</w:t>
      </w:r>
      <w:r w:rsidDel="00000000" w:rsidR="00000000" w:rsidRPr="00000000">
        <w:rPr>
          <w:vertAlign w:val="baseline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134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90"/>
        <w:gridCol w:w="1020"/>
        <w:gridCol w:w="780"/>
        <w:gridCol w:w="2970"/>
        <w:gridCol w:w="1080"/>
        <w:gridCol w:w="270"/>
        <w:gridCol w:w="900"/>
        <w:gridCol w:w="2430"/>
        <w:gridCol w:w="1350"/>
        <w:tblGridChange w:id="0">
          <w:tblGrid>
            <w:gridCol w:w="450"/>
            <w:gridCol w:w="90"/>
            <w:gridCol w:w="1020"/>
            <w:gridCol w:w="780"/>
            <w:gridCol w:w="2970"/>
            <w:gridCol w:w="1080"/>
            <w:gridCol w:w="270"/>
            <w:gridCol w:w="900"/>
            <w:gridCol w:w="2430"/>
            <w:gridCol w:w="1350"/>
          </w:tblGrid>
        </w:tblGridChange>
      </w:tblGrid>
      <w:tr>
        <w:trPr>
          <w:cantSplit w:val="0"/>
          <w:trHeight w:val="136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Селена Станковић</w:t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Филозофски факултет Универзитета у Нишу, 1. 10. 2012.</w:t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Француски језик</w:t>
            </w:r>
          </w:p>
        </w:tc>
      </w:tr>
      <w:tr>
        <w:trPr>
          <w:cantSplit w:val="0"/>
          <w:trHeight w:val="73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2017.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Филозофски факултет, Ниш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Филолошке науке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Француски језик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2011.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Филолошке науке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Лингвистика, романистика, француски језик</w:t>
            </w:r>
          </w:p>
        </w:tc>
      </w:tr>
      <w:tr>
        <w:trPr>
          <w:cantSplit w:val="0"/>
          <w:trHeight w:val="9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2001.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Филолошке науке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Лингвистика, романистика, француски језик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10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1996.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Филолошке науке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Романистика, француски језик и  књижевност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85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Назив предмета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Вид наставе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Врста студија (ОАС, МАС)</w:t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FA0001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2">
            <w:pPr>
              <w:rPr>
                <w:sz w:val="18"/>
                <w:szCs w:val="18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18"/>
                    <w:szCs w:val="18"/>
                    <w:vertAlign w:val="baseline"/>
                    <w:rtl w:val="0"/>
                  </w:rPr>
                  <w:t xml:space="preserve">Савремени француски језик 1 − Морфосинтакса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FA0002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C">
            <w:pPr>
              <w:rPr>
                <w:sz w:val="18"/>
                <w:szCs w:val="18"/>
                <w:vertAlign w:val="baseline"/>
              </w:rPr>
            </w:pPr>
            <w:hyperlink r:id="rId7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Фонетика и фонологија француског језика 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F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0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FA0006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6">
            <w:pPr>
              <w:rPr>
                <w:sz w:val="18"/>
                <w:szCs w:val="18"/>
                <w:vertAlign w:val="baseline"/>
              </w:rPr>
            </w:pPr>
            <w:hyperlink r:id="rId8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Савремени француски језик 2 – Морфосинтакса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9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FA0007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0">
            <w:pPr>
              <w:rPr>
                <w:sz w:val="18"/>
                <w:szCs w:val="18"/>
                <w:vertAlign w:val="baseline"/>
              </w:rPr>
            </w:pPr>
            <w:hyperlink r:id="rId9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Фонетика и фонологија француског језика 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3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FA0011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A">
            <w:pPr>
              <w:rPr>
                <w:sz w:val="18"/>
                <w:szCs w:val="18"/>
                <w:vertAlign w:val="baseline"/>
              </w:rPr>
            </w:pPr>
            <w:hyperlink r:id="rId10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Савремени франц</w:t>
              </w:r>
            </w:hyperlink>
            <w:hyperlink r:id="rId11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уски</w:t>
              </w:r>
            </w:hyperlink>
            <w:hyperlink r:id="rId12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 језик 3 – Синтакса просте реченице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D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FA0018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4">
            <w:pPr>
              <w:rPr>
                <w:sz w:val="18"/>
                <w:szCs w:val="18"/>
                <w:vertAlign w:val="baseline"/>
              </w:rPr>
            </w:pPr>
            <w:hyperlink r:id="rId13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Савремени франц</w:t>
              </w:r>
            </w:hyperlink>
            <w:hyperlink r:id="rId14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уски</w:t>
              </w:r>
            </w:hyperlink>
            <w:hyperlink r:id="rId15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 језик 4 – Синтакса просте реченице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7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FA0025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E">
            <w:pPr>
              <w:rPr>
                <w:sz w:val="18"/>
                <w:szCs w:val="18"/>
                <w:vertAlign w:val="baseline"/>
              </w:rPr>
            </w:pPr>
            <w:hyperlink r:id="rId16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Савремени француски језик 5 – Синтакса сложене реченице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D1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FA0032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8">
            <w:pPr>
              <w:rPr>
                <w:sz w:val="18"/>
                <w:szCs w:val="18"/>
                <w:vertAlign w:val="baseline"/>
              </w:rPr>
            </w:pPr>
            <w:hyperlink r:id="rId17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Савремени франц</w:t>
              </w:r>
            </w:hyperlink>
            <w:hyperlink r:id="rId18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уски</w:t>
              </w:r>
            </w:hyperlink>
            <w:hyperlink r:id="rId19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 језик 6 – Синтакса сложене реченице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DB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MFR003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2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Француски језик у контакту са другим језицима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Пр. + Вежбе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10.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MFR010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C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Превођење у настави француског као страног језика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Франц. језик и књижевност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pos="567"/>
              </w:tabs>
              <w:spacing w:after="20" w:before="2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highlight w:val="yellow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Stanković, M. Selena (2020). Sur la possessivité du génitif non prépositionnel dans « Osman » de Dživo Gundulić et les équivalents français,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Српски језик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25/1 (2020), Филолошки факултет, Београд, 169–187; DOI: </w:t>
            </w:r>
            <w:hyperlink r:id="rId20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https://doi.org/10.18485/sj.2020.25.1.13</w:t>
              </w:r>
            </w:hyperlink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 (М24)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Stanković, Selena (2020). Le lexique religieux dans une correspondance diplomatique en serbe et en français: une optique traductologique,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Црквене студије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XVII/17 (2020), Центар за црквене студије – Универзитет у Нишу, Ниш, 343–358. (М24)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3.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Stanković, Selena, Gorgiev, Anastasija (2022). Sur l’emploi du pronom « on » dans « Thérapeutique des maladies mentales » de Jean-Claude Larchet,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Црквене студије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18"/>
                    <w:szCs w:val="18"/>
                    <w:vertAlign w:val="baseline"/>
                    <w:rtl w:val="0"/>
                  </w:rPr>
                  <w:t xml:space="preserve">, XIX/19 (2022), Центар за црквене студије − Међународни центар за православне студије, Ниш, 609–626;  DOI: </w:t>
                </w:r>
              </w:sdtContent>
            </w:sdt>
            <w:hyperlink r:id="rId21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https://doi.org/10.18485/ccs_cs.2022.19.19.39</w:t>
              </w:r>
            </w:hyperlink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 (М23)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4.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Jaćović, Jelena, G., Stanković, Selena, M. (2020). Erreurs lexicales – un défi pour les étudiants sebophones,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Наслеђе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XVII/47 (2020), Филолошко-уметнички факултет, Крагујевац 2020, 135–145. (М24)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5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5.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Stanković, Selena, Živić, Nataša (2020). L’apposition nominale détachée et ses équivalents serbes : l’exemple du roman « Le Lys dans la vallée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»,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Philologia Mediana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XII/12 (2020), Филозофски факултет, Ниш, 295–321; DOI: </w:t>
            </w:r>
            <w:hyperlink r:id="rId22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https://doi.org/10.46630/phm.12.2020.19</w:t>
              </w:r>
            </w:hyperlink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 (М51)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6.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Živić, Nataša, Stanković, Selena (2019). Sur la traduction de la poésie de Milovan Danojlić en français,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Facta Universitatis, Series: Linguistics and Literature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17/2 (2019), University of Niš, Srbija, Niš, 187–200; DOI: </w:t>
            </w:r>
            <w:hyperlink r:id="rId23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https://doi.org/10.22190/FULL1902187Z</w:t>
              </w:r>
            </w:hyperlink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 (М51)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7.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3A">
            <w:pPr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Stanković, Selena (2021).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Sur quelques valeurs sémantiques du pronom personnel de la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e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personne du pluriel en français et en serbe,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Годишњак Филозофског факултета у Новом Саду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XLVI/</w:t>
            </w:r>
            <w:r w:rsidDel="00000000" w:rsidR="00000000" w:rsidRPr="00000000">
              <w:rPr>
                <w:sz w:val="18"/>
                <w:szCs w:val="18"/>
                <w:highlight w:val="white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(2021), Филозофски факултет, Нови Сад 87–103; </w:t>
            </w:r>
            <w:r w:rsidDel="00000000" w:rsidR="00000000" w:rsidRPr="00000000">
              <w:rPr>
                <w:sz w:val="18"/>
                <w:szCs w:val="18"/>
                <w:highlight w:val="white"/>
                <w:vertAlign w:val="baseline"/>
                <w:rtl w:val="0"/>
              </w:rPr>
              <w:t xml:space="preserve">DOI: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vertAlign w:val="baseline"/>
                <w:rtl w:val="0"/>
              </w:rPr>
              <w:t xml:space="preserve"> </w:t>
            </w:r>
            <w:hyperlink r:id="rId24">
              <w:r w:rsidDel="00000000" w:rsidR="00000000" w:rsidRPr="00000000">
                <w:rPr>
                  <w:sz w:val="18"/>
                  <w:szCs w:val="18"/>
                  <w:highlight w:val="white"/>
                  <w:vertAlign w:val="baseline"/>
                  <w:rtl w:val="0"/>
                </w:rPr>
                <w:t xml:space="preserve">10.19090/gff</w:t>
              </w:r>
            </w:hyperlink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.2021.3.87-103. (М51)</w:t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3">
            <w:pPr>
              <w:widowControl w:val="1"/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8.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pos="567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Станковић, Селена (2014).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Француске позајмљенице у говорима југоисточне Србије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Тематски зборник радова „Језик, књижевост и култура“, Том 4, Универзитет у Нишу, Филозофски факултет, Ниш, 303–315. (М33)</w:t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pos="567"/>
              </w:tabs>
              <w:spacing w:after="20" w:before="20" w:lineRule="auto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30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pos="567"/>
              </w:tabs>
              <w:spacing w:after="20" w:before="20" w:lineRule="auto"/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Тренутно учешће</w:t>
            </w:r>
          </w:p>
          <w:p w:rsidR="00000000" w:rsidDel="00000000" w:rsidP="00000000" w:rsidRDefault="00000000" w:rsidRPr="00000000" w14:paraId="0000016C">
            <w:pPr>
              <w:tabs>
                <w:tab w:val="left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pos="567"/>
              </w:tabs>
              <w:spacing w:after="20" w:before="20" w:lineRule="auto"/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Домаћи: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 Превод у систему компаративног изучавања српске и стране књижевности и културе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(МПНТР, ОИ 178019)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pos="567"/>
              </w:tabs>
              <w:spacing w:after="20" w:before="20" w:lineRule="auto"/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Међународни: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Романистика и словенски језици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 књижевности и културе у контакту и дисконтакту 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(Бр. 1001-13-01)</w:t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pos="567"/>
              </w:tabs>
              <w:spacing w:after="20" w:before="20" w:lineRule="auto"/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1. Студијски боравак у Француској: Универзитет Париз III – Нова Сорбона, март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јул 1999; Универзитет у Тулузу, јун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јул 2004. 2. Наставничка мобилност у оквиру Програма Еразмус+: Универзитет у Поатјеу, јун 2016, јун 2018, децембар 2018; Универзитет Артоа (Арас), март 2016, март 2018.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pos="567"/>
              </w:tabs>
              <w:spacing w:after="20" w:before="20" w:lineRule="auto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Други подаци које сматрате релевантним: Oд 2006. члан 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Друштва за примењену лингвистику Србије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   </w:t>
            </w:r>
          </w:p>
        </w:tc>
      </w:tr>
    </w:tbl>
    <w:p w:rsidR="00000000" w:rsidDel="00000000" w:rsidP="00000000" w:rsidRDefault="00000000" w:rsidRPr="00000000" w14:paraId="0000018A">
      <w:pPr>
        <w:rPr>
          <w:sz w:val="6"/>
          <w:szCs w:val="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sz w:val="6"/>
          <w:szCs w:val="6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5" w:type="default"/>
      <w:footerReference r:id="rId26" w:type="default"/>
      <w:pgSz w:h="16840" w:w="11907" w:orient="portrait"/>
      <w:pgMar w:bottom="851" w:top="1843" w:left="426" w:right="567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Gungsuh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6"/>
        <w:szCs w:val="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6"/>
        <w:szCs w:val="6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10861.999999999998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7558"/>
      <w:gridCol w:w="1670"/>
      <w:tblGridChange w:id="0">
        <w:tblGrid>
          <w:gridCol w:w="1634"/>
          <w:gridCol w:w="7558"/>
          <w:gridCol w:w="1670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18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18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8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19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23290" cy="922020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19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19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9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19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19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9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9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6"/>
        <w:szCs w:val="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sr-Latn" w:val="sr-Latn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i.org/10.18485/sj.2020.25.1.13" TargetMode="External"/><Relationship Id="rId22" Type="http://schemas.openxmlformats.org/officeDocument/2006/relationships/hyperlink" Target="https://doi.org/10.46630/phm.12.2020.19" TargetMode="External"/><Relationship Id="rId21" Type="http://schemas.openxmlformats.org/officeDocument/2006/relationships/hyperlink" Target="https://doi.org/10.18485/ccs_cs.2022.19.19.39" TargetMode="External"/><Relationship Id="rId24" Type="http://schemas.openxmlformats.org/officeDocument/2006/relationships/hyperlink" Target="http://godisnjak.ff.uns.ac.rs/" TargetMode="External"/><Relationship Id="rId23" Type="http://schemas.openxmlformats.org/officeDocument/2006/relationships/hyperlink" Target="https://doi.org/10.22190/FULL1902187Z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../../../../../../../../OAS%20Francuski%20jezik%20i%20knjizevnost/03%20Tabele%20standarda/TABELE%20STANDARDA%205/TABELA%205.2.SPECIFIKACIJA%20PREDMETA/I%20godina/8.Fonetika%20i%20fonologija%20francuskog%20jezika%202.doc" TargetMode="External"/><Relationship Id="rId26" Type="http://schemas.openxmlformats.org/officeDocument/2006/relationships/footer" Target="footer1.xml"/><Relationship Id="rId25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../../../../../../../../OAS%20Francuski%20jezik%20i%20knjizevnost/03%20Tabele%20standarda/TABELE%20STANDARDA%205/TABELA%205.2.SPECIFIKACIJA%20PREDMETA/I%20godina/2.Fonetika%20i%20fonologija%20francuskog%20jezika%201.doc" TargetMode="External"/><Relationship Id="rId8" Type="http://schemas.openxmlformats.org/officeDocument/2006/relationships/hyperlink" Target="http://../../../../../../../../OAS%20Francuski%20jezik%20i%20knjizevnost/03%20Tabele%20standarda/TABELE%20STANDARDA%205/TABELA%205.2.SPECIFIKACIJA%20PREDMETA/I%20godina/7.Savremeni%20francuski%20jezik%202-Morfosintaksa.doc" TargetMode="External"/><Relationship Id="rId11" Type="http://schemas.openxmlformats.org/officeDocument/2006/relationships/hyperlink" Target="http://../../../../../../../../OAS%20Francuski%20jezik%20i%20knjizevnost/03%20Tabele%20standarda/TABELE%20STANDARDA%205/TABELA%205.2.SPECIFIKACIJA%20PREDMETA/II%20godina/1.Savremeni%20francuski%20jezik%203-Sintaksa%20proste%20recenice.DOC" TargetMode="External"/><Relationship Id="rId10" Type="http://schemas.openxmlformats.org/officeDocument/2006/relationships/hyperlink" Target="http://../../../../../../../../OAS%20Francuski%20jezik%20i%20knjizevnost/03%20Tabele%20standarda/TABELE%20STANDARDA%205/TABELA%205.2.SPECIFIKACIJA%20PREDMETA/II%20godina/1.Savremeni%20francuski%20jezik%203-Sintaksa%20proste%20recenice.DOC" TargetMode="External"/><Relationship Id="rId13" Type="http://schemas.openxmlformats.org/officeDocument/2006/relationships/hyperlink" Target="http://../../../../../../../../OAS%20Francuski%20jezik%20i%20knjizevnost/03%20Tabele%20standarda/TABELE%20STANDARDA%205/TABELA%205.2.SPECIFIKACIJA%20PREDMETA/II%20godina/8.Savremeni%20francuski%20jezik%204-Sintaksa%20proste%20recenice.DOC" TargetMode="External"/><Relationship Id="rId12" Type="http://schemas.openxmlformats.org/officeDocument/2006/relationships/hyperlink" Target="http://../../../../../../../../OAS%20Francuski%20jezik%20i%20knjizevnost/03%20Tabele%20standarda/TABELE%20STANDARDA%205/TABELA%205.2.SPECIFIKACIJA%20PREDMETA/II%20godina/1.Savremeni%20francuski%20jezik%203-Sintaksa%20proste%20recenice.DOC" TargetMode="External"/><Relationship Id="rId15" Type="http://schemas.openxmlformats.org/officeDocument/2006/relationships/hyperlink" Target="http://../../../../../../../../OAS%20Francuski%20jezik%20i%20knjizevnost/03%20Tabele%20standarda/TABELE%20STANDARDA%205/TABELA%205.2.SPECIFIKACIJA%20PREDMETA/II%20godina/8.Savremeni%20francuski%20jezik%204-Sintaksa%20proste%20recenice.DOC" TargetMode="External"/><Relationship Id="rId14" Type="http://schemas.openxmlformats.org/officeDocument/2006/relationships/hyperlink" Target="http://../../../../../../../../OAS%20Francuski%20jezik%20i%20knjizevnost/03%20Tabele%20standarda/TABELE%20STANDARDA%205/TABELA%205.2.SPECIFIKACIJA%20PREDMETA/II%20godina/8.Savremeni%20francuski%20jezik%204-Sintaksa%20proste%20recenice.DOC" TargetMode="External"/><Relationship Id="rId17" Type="http://schemas.openxmlformats.org/officeDocument/2006/relationships/hyperlink" Target="http://../../../../../../../../OAS%20Francuski%20jezik%20i%20knjizevnost/03%20Tabele%20standarda/TABELE%20STANDARDA%205/TABELA%205.2.SPECIFIKACIJA%20PREDMETA/III%20godina/8.Savremeni%20francuski%20jezik%206-Sintaksa%20slozene%20recenice.doc" TargetMode="External"/><Relationship Id="rId16" Type="http://schemas.openxmlformats.org/officeDocument/2006/relationships/hyperlink" Target="http://../../../../../../../../OAS%20Francuski%20jezik%20i%20knjizevnost/03%20Tabele%20standarda/TABELE%20STANDARDA%205/TABELA%205.2.SPECIFIKACIJA%20PREDMETA/III%20godina/1.Savremeni%20francuski%20jezik%205-Sintaksa%20slozene%20recenice.doc" TargetMode="External"/><Relationship Id="rId19" Type="http://schemas.openxmlformats.org/officeDocument/2006/relationships/hyperlink" Target="http://../../../../../../../../OAS%20Francuski%20jezik%20i%20knjizevnost/03%20Tabele%20standarda/TABELE%20STANDARDA%205/TABELA%205.2.SPECIFIKACIJA%20PREDMETA/III%20godina/8.Savremeni%20francuski%20jezik%206-Sintaksa%20slozene%20recenice.doc" TargetMode="External"/><Relationship Id="rId18" Type="http://schemas.openxmlformats.org/officeDocument/2006/relationships/hyperlink" Target="http://../../../../../../../../OAS%20Francuski%20jezik%20i%20knjizevnost/03%20Tabele%20standarda/TABELE%20STANDARDA%205/TABELA%205.2.SPECIFIKACIJA%20PREDMETA/III%20godina/8.Savremeni%20francuski%20jezik%206-Sintaksa%20slozene%20recenice.doc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HmlgiU+A7XMz3sHkfQNopqlblQ==">AMUW2mU6XPKRLbTbGAZ9PQBIIMe05jifJI1HhdhWJLHtpGdoQCuFWtCNKCE+Fnxv6jX66y0b2wcu1/ONt3PA+Xd0J43zkKDMVxRZWriS285xaWSO8SMYZjbffiVrQ4y6JN1YiofKFeFXe9uXgCEXhitsdeMFIpU5N3tZlEj9GGPUw+uTa+6P3W0=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2022-01-28T20:41:00Z</dcterms:created>
  <dc:creator>Saša Trenčić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